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3067" w14:textId="6B36880A" w:rsidR="00020300" w:rsidRDefault="00020300" w:rsidP="005B3531">
      <w:pPr>
        <w:rPr>
          <w:rFonts w:ascii="Arial Nova Cond" w:hAnsi="Arial Nova Cond"/>
        </w:rPr>
      </w:pPr>
    </w:p>
    <w:tbl>
      <w:tblPr>
        <w:tblStyle w:val="TableGrid"/>
        <w:tblW w:w="0" w:type="auto"/>
        <w:tblLook w:val="04A0" w:firstRow="1" w:lastRow="0" w:firstColumn="1" w:lastColumn="0" w:noHBand="0" w:noVBand="1"/>
      </w:tblPr>
      <w:tblGrid>
        <w:gridCol w:w="9012"/>
      </w:tblGrid>
      <w:tr w:rsidR="00020300" w14:paraId="4570DA0A" w14:textId="77777777" w:rsidTr="00020300">
        <w:trPr>
          <w:trHeight w:val="510"/>
        </w:trPr>
        <w:tc>
          <w:tcPr>
            <w:tcW w:w="9012" w:type="dxa"/>
            <w:vAlign w:val="center"/>
          </w:tcPr>
          <w:p w14:paraId="7FADB11E" w14:textId="76C07203" w:rsidR="00020300" w:rsidRPr="00020300" w:rsidRDefault="00730850" w:rsidP="00020300">
            <w:pPr>
              <w:jc w:val="center"/>
              <w:rPr>
                <w:rFonts w:ascii="Arial Nova Cond" w:hAnsi="Arial Nova Cond"/>
                <w:b/>
                <w:bCs/>
                <w:sz w:val="32"/>
                <w:szCs w:val="32"/>
                <w:lang w:val="fr-FR"/>
              </w:rPr>
            </w:pPr>
            <w:r>
              <w:rPr>
                <w:rFonts w:ascii="Arial Nova Cond" w:hAnsi="Arial Nova Cond"/>
                <w:b/>
                <w:bCs/>
                <w:sz w:val="32"/>
                <w:szCs w:val="32"/>
                <w:lang w:val="fr-FR"/>
              </w:rPr>
              <w:t>Official Statement</w:t>
            </w:r>
          </w:p>
        </w:tc>
      </w:tr>
    </w:tbl>
    <w:p w14:paraId="77CB979B" w14:textId="77777777" w:rsidR="00020300" w:rsidRPr="00020300" w:rsidRDefault="00020300" w:rsidP="005B3531">
      <w:pPr>
        <w:rPr>
          <w:rFonts w:ascii="Arial Nova Cond" w:hAnsi="Arial Nova Cond"/>
          <w:lang w:val="fr-FR"/>
        </w:rPr>
      </w:pPr>
    </w:p>
    <w:p w14:paraId="3C7066D0" w14:textId="7DBEB49C" w:rsidR="00020300" w:rsidRPr="00730850" w:rsidRDefault="00020300" w:rsidP="00020300">
      <w:pPr>
        <w:rPr>
          <w:rFonts w:ascii="Arial Nova Cond" w:hAnsi="Arial Nova Cond"/>
          <w:i/>
          <w:iCs/>
          <w:sz w:val="18"/>
          <w:szCs w:val="18"/>
        </w:rPr>
      </w:pPr>
      <w:r w:rsidRPr="00730850">
        <w:rPr>
          <w:rFonts w:ascii="Arial Nova Cond" w:hAnsi="Arial Nova Cond"/>
          <w:i/>
          <w:iCs/>
          <w:sz w:val="18"/>
          <w:szCs w:val="18"/>
        </w:rPr>
        <w:t xml:space="preserve">Luxembourg, </w:t>
      </w:r>
      <w:r w:rsidR="00730850" w:rsidRPr="00730850">
        <w:rPr>
          <w:rFonts w:ascii="Arial Nova Cond" w:hAnsi="Arial Nova Cond"/>
          <w:i/>
          <w:iCs/>
          <w:sz w:val="18"/>
          <w:szCs w:val="18"/>
        </w:rPr>
        <w:t>16 July</w:t>
      </w:r>
      <w:r w:rsidRPr="00730850">
        <w:rPr>
          <w:rFonts w:ascii="Arial Nova Cond" w:hAnsi="Arial Nova Cond"/>
          <w:i/>
          <w:iCs/>
          <w:sz w:val="18"/>
          <w:szCs w:val="18"/>
        </w:rPr>
        <w:t xml:space="preserve"> 2026</w:t>
      </w:r>
    </w:p>
    <w:p w14:paraId="1A57FC22" w14:textId="77777777" w:rsidR="00020300" w:rsidRPr="00730850" w:rsidRDefault="00020300" w:rsidP="00477415">
      <w:pPr>
        <w:spacing w:after="0"/>
        <w:rPr>
          <w:rFonts w:ascii="Arial Nova Cond" w:hAnsi="Arial Nova Cond"/>
        </w:rPr>
      </w:pPr>
    </w:p>
    <w:p w14:paraId="43EC2A13" w14:textId="77777777" w:rsidR="00730850" w:rsidRPr="00730850" w:rsidRDefault="00730850" w:rsidP="00730850">
      <w:pPr>
        <w:rPr>
          <w:rFonts w:ascii="Arial Nova Cond" w:eastAsia="Arial Nova Cond" w:hAnsi="Arial Nova Cond" w:cs="Arial Nova Cond"/>
        </w:rPr>
      </w:pPr>
      <w:r w:rsidRPr="00730850">
        <w:rPr>
          <w:rFonts w:ascii="Arial Nova Cond" w:eastAsia="Arial Nova Cond" w:hAnsi="Arial Nova Cond" w:cs="Arial Nova Cond"/>
        </w:rPr>
        <w:t>With the publication of the official schedules for the 2026/27 season, the Luxembourg Basketball Federation (FLBB) confirms the composition of the women's senior national championships. We are pleased to welcome Gréngewald Hueschtert to the Enovos League following its promotion. The FLBB is equally delighted that Résidence Walferdange, US Heffingen, and Arantia Larochette have once again registered first teams in Nationale 2 after an absence, a welcome sign of renewed commitment to women's senior basketball. We extend our sincere appreciation to every club that continues to invest in and support women's senior basketball.</w:t>
      </w:r>
    </w:p>
    <w:p w14:paraId="58F4E48D" w14:textId="42E5633E" w:rsidR="000802A3" w:rsidRPr="000802A3" w:rsidRDefault="000802A3" w:rsidP="000802A3">
      <w:pPr>
        <w:rPr>
          <w:rFonts w:ascii="Arial Nova Cond" w:eastAsia="Arial Nova Cond" w:hAnsi="Arial Nova Cond" w:cs="Arial Nova Cond"/>
        </w:rPr>
      </w:pPr>
      <w:r w:rsidRPr="000802A3">
        <w:rPr>
          <w:rFonts w:ascii="Arial Nova Cond" w:eastAsia="Arial Nova Cond" w:hAnsi="Arial Nova Cond" w:cs="Arial Nova Cond"/>
        </w:rPr>
        <w:t>However, the FLBB Board wishes to express its regret over the decision of Sparta Bertrange not to field a women's senior team in the Enovos League for the upcoming season. This development is  concerning for the future of the women's game in .</w:t>
      </w:r>
    </w:p>
    <w:p w14:paraId="78875244" w14:textId="77777777" w:rsidR="000802A3" w:rsidRDefault="000802A3" w:rsidP="000802A3">
      <w:pPr>
        <w:rPr>
          <w:rFonts w:ascii="Arial Nova Cond" w:eastAsia="Arial Nova Cond" w:hAnsi="Arial Nova Cond" w:cs="Arial Nova Cond"/>
        </w:rPr>
      </w:pPr>
      <w:r w:rsidRPr="000802A3">
        <w:rPr>
          <w:rFonts w:ascii="Arial Nova Cond" w:eastAsia="Arial Nova Cond" w:hAnsi="Arial Nova Cond" w:cs="Arial Nova Cond"/>
        </w:rPr>
        <w:t>Equally disappointing is the withdrawal of US Basket Racing Luxembourg from Nationale 2, a decision communicated to the federation only shortly before the publication of the competition schedules.</w:t>
      </w:r>
    </w:p>
    <w:p w14:paraId="754C706D" w14:textId="751D1A50" w:rsidR="00730850" w:rsidRPr="00730850" w:rsidRDefault="00730850" w:rsidP="000802A3">
      <w:pPr>
        <w:rPr>
          <w:rFonts w:ascii="Arial Nova Cond" w:eastAsia="Arial Nova Cond" w:hAnsi="Arial Nova Cond" w:cs="Arial Nova Cond"/>
        </w:rPr>
      </w:pPr>
      <w:r w:rsidRPr="00730850">
        <w:rPr>
          <w:rFonts w:ascii="Arial Nova Cond" w:eastAsia="Arial Nova Cond" w:hAnsi="Arial Nova Cond" w:cs="Arial Nova Cond"/>
        </w:rPr>
        <w:t>These withdrawals are more than isolated sporting decisions. They represent a setback for the growth, visibility, and long-term sustainability of women's basketball in our country. Every senior women's team plays a vital role in providing opportunities for players, inspiring the next generation, and strengthening the competitive landscape of our national championships.</w:t>
      </w:r>
    </w:p>
    <w:p w14:paraId="1081EB34" w14:textId="77777777" w:rsidR="00730850" w:rsidRPr="00730850" w:rsidRDefault="00730850" w:rsidP="00730850">
      <w:pPr>
        <w:rPr>
          <w:rFonts w:ascii="Arial Nova Cond" w:eastAsia="Arial Nova Cond" w:hAnsi="Arial Nova Cond" w:cs="Arial Nova Cond"/>
        </w:rPr>
      </w:pPr>
      <w:r w:rsidRPr="00730850">
        <w:rPr>
          <w:rFonts w:ascii="Arial Nova Cond" w:eastAsia="Arial Nova Cond" w:hAnsi="Arial Nova Cond" w:cs="Arial Nova Cond"/>
        </w:rPr>
        <w:t>Over the past months, the FLBB has maintained an open and constructive dialogue with Sparta Bertrange. The club has committed to presenting a comprehensive plan for the future development of its women's basketball programme, which will be submitted to the federation in the coming weeks. The FLBB will also seek the same constructive dialogue with Racing Luxembourg to better understand the circumstances surrounding its decision and to explore opportunities for rebuilding its senior women's programme.</w:t>
      </w:r>
    </w:p>
    <w:p w14:paraId="6328E90E" w14:textId="77777777" w:rsidR="00730850" w:rsidRPr="00730850" w:rsidRDefault="00730850" w:rsidP="00730850">
      <w:pPr>
        <w:rPr>
          <w:rFonts w:ascii="Arial Nova Cond" w:eastAsia="Arial Nova Cond" w:hAnsi="Arial Nova Cond" w:cs="Arial Nova Cond"/>
        </w:rPr>
      </w:pPr>
      <w:r w:rsidRPr="00730850">
        <w:rPr>
          <w:rFonts w:ascii="Arial Nova Cond" w:eastAsia="Arial Nova Cond" w:hAnsi="Arial Nova Cond" w:cs="Arial Nova Cond"/>
        </w:rPr>
        <w:t>The FLBB Board views these developments with the utmost seriousness. Women's basketball remains a strategic priority for the federation. Together with our clubs and stakeholders, we will continue to work towards strengthening the women's competitions, creating sustainable structures, and ensuring that female players throughout Luxembourg have the opportunity to compete, develop, and thrive at the highest national level.</w:t>
      </w:r>
    </w:p>
    <w:p w14:paraId="33819CA6" w14:textId="77777777" w:rsidR="00730850" w:rsidRPr="00730850" w:rsidRDefault="00730850" w:rsidP="00730850">
      <w:pPr>
        <w:rPr>
          <w:rFonts w:ascii="Arial Nova Cond" w:eastAsia="Arial Nova Cond" w:hAnsi="Arial Nova Cond" w:cs="Arial Nova Cond"/>
        </w:rPr>
      </w:pPr>
      <w:r w:rsidRPr="00730850">
        <w:rPr>
          <w:rFonts w:ascii="Arial Nova Cond" w:eastAsia="Arial Nova Cond" w:hAnsi="Arial Nova Cond" w:cs="Arial Nova Cond"/>
        </w:rPr>
        <w:t>The future of women's basketball is a shared responsibility. The FLBB remains fully committed to working with all clubs to protect, strengthen, and grow the women's game for the seasons to come.</w:t>
      </w:r>
    </w:p>
    <w:p w14:paraId="3DD64746" w14:textId="590585D5" w:rsidR="00020300" w:rsidRDefault="00020300" w:rsidP="00730850">
      <w:pPr>
        <w:rPr>
          <w:rFonts w:ascii="Arial Nova Cond" w:hAnsi="Arial Nova Cond"/>
        </w:rPr>
      </w:pPr>
    </w:p>
    <w:p w14:paraId="30F8D9BF" w14:textId="7A2E3B3F" w:rsidR="00730850" w:rsidRPr="00730850" w:rsidRDefault="00730850" w:rsidP="00730850">
      <w:pPr>
        <w:rPr>
          <w:rFonts w:ascii="Arial Nova Cond" w:hAnsi="Arial Nova Cond"/>
        </w:rPr>
      </w:pPr>
      <w:r>
        <w:rPr>
          <w:rFonts w:ascii="Arial Nova Cond" w:hAnsi="Arial Nova Cond"/>
        </w:rPr>
        <w:t>The Board of Directors of the FLBB</w:t>
      </w:r>
    </w:p>
    <w:sectPr w:rsidR="00730850" w:rsidRPr="00730850" w:rsidSect="00477415">
      <w:headerReference w:type="even" r:id="rId6"/>
      <w:headerReference w:type="default" r:id="rId7"/>
      <w:footerReference w:type="even" r:id="rId8"/>
      <w:footerReference w:type="default" r:id="rId9"/>
      <w:headerReference w:type="first" r:id="rId10"/>
      <w:footerReference w:type="first" r:id="rId11"/>
      <w:pgSz w:w="11906" w:h="16838" w:code="9"/>
      <w:pgMar w:top="1843" w:right="1558" w:bottom="1276"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8292" w14:textId="77777777" w:rsidR="001C1640" w:rsidRDefault="001C1640" w:rsidP="005A20A1">
      <w:pPr>
        <w:spacing w:after="0" w:line="240" w:lineRule="auto"/>
      </w:pPr>
      <w:r>
        <w:separator/>
      </w:r>
    </w:p>
  </w:endnote>
  <w:endnote w:type="continuationSeparator" w:id="0">
    <w:p w14:paraId="0371D85A" w14:textId="77777777" w:rsidR="001C1640" w:rsidRDefault="001C1640" w:rsidP="005A2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FIBA">
    <w:panose1 w:val="00000500000000000000"/>
    <w:charset w:val="00"/>
    <w:family w:val="modern"/>
    <w:notTrueType/>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DFAE" w14:textId="77777777" w:rsidR="008471C4" w:rsidRDefault="00847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4E93" w14:textId="0EB67947" w:rsidR="00CE65A6" w:rsidRPr="008C3865" w:rsidRDefault="00000000" w:rsidP="00477415">
    <w:pPr>
      <w:pStyle w:val="Footer"/>
      <w:ind w:left="-142" w:firstLine="142"/>
      <w:jc w:val="center"/>
      <w:rPr>
        <w:rFonts w:ascii="FIBA" w:hAnsi="FIBA"/>
        <w:color w:val="808080"/>
        <w:sz w:val="16"/>
        <w:lang w:val="fr-FR"/>
      </w:rPr>
    </w:pPr>
    <w:r w:rsidRPr="008C3865">
      <w:rPr>
        <w:rFonts w:ascii="FIBA" w:hAnsi="FIBA"/>
        <w:color w:val="808080"/>
        <w:sz w:val="16"/>
        <w:lang w:val="fr-FR"/>
      </w:rPr>
      <w:t xml:space="preserve">Fédération Luxembourgeoise de Basketball   ·   3, route d’Arlon — L-8009 Strassen   ·   </w:t>
    </w:r>
    <w:r w:rsidR="00477415">
      <w:rPr>
        <w:rFonts w:ascii="FIBA" w:hAnsi="FIBA"/>
        <w:color w:val="808080"/>
        <w:sz w:val="16"/>
        <w:lang w:val="fr-FR"/>
      </w:rPr>
      <w:t>RCS : F2301</w:t>
    </w:r>
    <w:r w:rsidR="00477415" w:rsidRPr="008C3865">
      <w:rPr>
        <w:rFonts w:ascii="FIBA" w:hAnsi="FIBA"/>
        <w:color w:val="808080"/>
        <w:sz w:val="16"/>
        <w:lang w:val="fr-FR"/>
      </w:rPr>
      <w:t xml:space="preserve">   ·   </w:t>
    </w:r>
    <w:r w:rsidRPr="008C3865">
      <w:rPr>
        <w:rFonts w:ascii="FIBA" w:hAnsi="FIBA"/>
        <w:color w:val="808080"/>
        <w:sz w:val="16"/>
        <w:lang w:val="fr-FR"/>
      </w:rPr>
      <w:t>www</w:t>
    </w:r>
    <w:r w:rsidR="008F6A23">
      <w:rPr>
        <w:rFonts w:ascii="FIBA" w:hAnsi="FIBA"/>
        <w:color w:val="808080"/>
        <w:sz w:val="16"/>
        <w:lang w:val="fr-FR"/>
      </w:rPr>
      <w:t>.luxembourg.basketball</w:t>
    </w:r>
    <w:r w:rsidR="00477415" w:rsidRPr="008C3865">
      <w:rPr>
        <w:rFonts w:ascii="FIBA" w:hAnsi="FIBA"/>
        <w:color w:val="808080"/>
        <w:sz w:val="16"/>
        <w:lang w:val="fr-FR"/>
      </w:rPr>
      <w:t xml:space="preserve">   ·   </w:t>
    </w:r>
    <w:r w:rsidR="00477415">
      <w:rPr>
        <w:rFonts w:ascii="FIBA" w:hAnsi="FIBA"/>
        <w:color w:val="808080"/>
        <w:sz w:val="16"/>
        <w:lang w:val="fr-FR"/>
      </w:rPr>
      <w:t>flbb@flbb.lu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7FD4" w14:textId="77777777" w:rsidR="008471C4" w:rsidRDefault="00847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08DF" w14:textId="77777777" w:rsidR="001C1640" w:rsidRDefault="001C1640" w:rsidP="005A20A1">
      <w:pPr>
        <w:spacing w:after="0" w:line="240" w:lineRule="auto"/>
      </w:pPr>
      <w:r>
        <w:separator/>
      </w:r>
    </w:p>
  </w:footnote>
  <w:footnote w:type="continuationSeparator" w:id="0">
    <w:p w14:paraId="0BAA6A63" w14:textId="77777777" w:rsidR="001C1640" w:rsidRDefault="001C1640" w:rsidP="005A2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A883" w14:textId="77777777" w:rsidR="008471C4" w:rsidRDefault="00847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8FBD" w14:textId="7F4FECF5" w:rsidR="005A20A1" w:rsidRDefault="006246CE">
    <w:pPr>
      <w:pStyle w:val="Header"/>
    </w:pPr>
    <w:r w:rsidRPr="006246CE">
      <w:rPr>
        <w:noProof/>
      </w:rPr>
      <w:drawing>
        <wp:inline distT="0" distB="0" distL="0" distR="0" wp14:anchorId="38426E90" wp14:editId="67985204">
          <wp:extent cx="4448796" cy="447737"/>
          <wp:effectExtent l="0" t="0" r="9525" b="9525"/>
          <wp:docPr id="608169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93664" name=""/>
                  <pic:cNvPicPr/>
                </pic:nvPicPr>
                <pic:blipFill>
                  <a:blip r:embed="rId1"/>
                  <a:stretch>
                    <a:fillRect/>
                  </a:stretch>
                </pic:blipFill>
                <pic:spPr>
                  <a:xfrm>
                    <a:off x="0" y="0"/>
                    <a:ext cx="4448796" cy="447737"/>
                  </a:xfrm>
                  <a:prstGeom prst="rect">
                    <a:avLst/>
                  </a:prstGeom>
                </pic:spPr>
              </pic:pic>
            </a:graphicData>
          </a:graphic>
        </wp:inline>
      </w:drawing>
    </w:r>
    <w:r w:rsidR="004916CC" w:rsidRPr="00671BF0">
      <w:rPr>
        <w:rFonts w:ascii="FIBA" w:hAnsi="FIBA"/>
        <w:noProof/>
      </w:rPr>
      <mc:AlternateContent>
        <mc:Choice Requires="wps">
          <w:drawing>
            <wp:anchor distT="0" distB="0" distL="114300" distR="114300" simplePos="0" relativeHeight="251660288" behindDoc="1" locked="1" layoutInCell="1" allowOverlap="1" wp14:anchorId="258E27FB" wp14:editId="5A172DB7">
              <wp:simplePos x="0" y="0"/>
              <wp:positionH relativeFrom="column">
                <wp:posOffset>6419850</wp:posOffset>
              </wp:positionH>
              <wp:positionV relativeFrom="paragraph">
                <wp:posOffset>-457200</wp:posOffset>
              </wp:positionV>
              <wp:extent cx="215900" cy="13542645"/>
              <wp:effectExtent l="0" t="0" r="0" b="1905"/>
              <wp:wrapNone/>
              <wp:docPr id="1776828022" name="Rectangle 1"/>
              <wp:cNvGraphicFramePr/>
              <a:graphic xmlns:a="http://schemas.openxmlformats.org/drawingml/2006/main">
                <a:graphicData uri="http://schemas.microsoft.com/office/word/2010/wordprocessingShape">
                  <wps:wsp>
                    <wps:cNvSpPr/>
                    <wps:spPr>
                      <a:xfrm>
                        <a:off x="0" y="0"/>
                        <a:ext cx="215900" cy="13542645"/>
                      </a:xfrm>
                      <a:prstGeom prst="rect">
                        <a:avLst/>
                      </a:prstGeom>
                      <a:solidFill>
                        <a:srgbClr val="24387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BD32F88" id="Rectangle 1" o:spid="_x0000_s1026" style="position:absolute;margin-left:505.5pt;margin-top:-36pt;width:17pt;height:1066.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" fillcolor="#24387b" stroked="f" strokeweight="1pt">
              <w10:anchorlock/>
            </v:rect>
          </w:pict>
        </mc:Fallback>
      </mc:AlternateContent>
    </w:r>
    <w:r w:rsidR="004916CC" w:rsidRPr="00671BF0">
      <w:rPr>
        <w:rFonts w:ascii="FIBA" w:hAnsi="FIBA"/>
        <w:noProof/>
      </w:rPr>
      <mc:AlternateContent>
        <mc:Choice Requires="wps">
          <w:drawing>
            <wp:anchor distT="0" distB="0" distL="114300" distR="114300" simplePos="0" relativeHeight="251661312" behindDoc="1" locked="1" layoutInCell="1" allowOverlap="1" wp14:anchorId="7DA36954" wp14:editId="4F96A11A">
              <wp:simplePos x="0" y="0"/>
              <wp:positionH relativeFrom="column">
                <wp:posOffset>5972175</wp:posOffset>
              </wp:positionH>
              <wp:positionV relativeFrom="paragraph">
                <wp:posOffset>-476250</wp:posOffset>
              </wp:positionV>
              <wp:extent cx="359410" cy="13542645"/>
              <wp:effectExtent l="0" t="0" r="2540" b="1905"/>
              <wp:wrapNone/>
              <wp:docPr id="410349260" name="Rectangle 2"/>
              <wp:cNvGraphicFramePr/>
              <a:graphic xmlns:a="http://schemas.openxmlformats.org/drawingml/2006/main">
                <a:graphicData uri="http://schemas.microsoft.com/office/word/2010/wordprocessingShape">
                  <wps:wsp>
                    <wps:cNvSpPr/>
                    <wps:spPr>
                      <a:xfrm>
                        <a:off x="0" y="0"/>
                        <a:ext cx="359410" cy="13542645"/>
                      </a:xfrm>
                      <a:prstGeom prst="rect">
                        <a:avLst/>
                      </a:prstGeom>
                      <a:solidFill>
                        <a:srgbClr val="D9252A"/>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3F19A60" id="Rectangle 2" o:spid="_x0000_s1026" style="position:absolute;margin-left:470.25pt;margin-top:-37.5pt;width:28.3pt;height:106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" fillcolor="#d9252a" stroked="f" strokeweight="1pt">
              <w10:anchorlock/>
            </v:rect>
          </w:pict>
        </mc:Fallback>
      </mc:AlternateContent>
    </w:r>
    <w:r w:rsidR="005A20A1">
      <w:rPr>
        <w:noProof/>
      </w:rPr>
      <w:drawing>
        <wp:anchor distT="0" distB="0" distL="114300" distR="114300" simplePos="0" relativeHeight="251658240" behindDoc="1" locked="0" layoutInCell="1" allowOverlap="1" wp14:anchorId="55689FD3" wp14:editId="07E610DE">
          <wp:simplePos x="0" y="0"/>
          <wp:positionH relativeFrom="column">
            <wp:posOffset>-715010</wp:posOffset>
          </wp:positionH>
          <wp:positionV relativeFrom="paragraph">
            <wp:posOffset>-276225</wp:posOffset>
          </wp:positionV>
          <wp:extent cx="572485" cy="809625"/>
          <wp:effectExtent l="0" t="0" r="0" b="0"/>
          <wp:wrapNone/>
          <wp:docPr id="1832834134" name="Picture 183283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572485"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2CFB" w14:textId="77777777" w:rsidR="008471C4" w:rsidRDefault="008471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A1"/>
    <w:rsid w:val="00005E17"/>
    <w:rsid w:val="00013768"/>
    <w:rsid w:val="00020300"/>
    <w:rsid w:val="000802A3"/>
    <w:rsid w:val="000D4456"/>
    <w:rsid w:val="000F4DC1"/>
    <w:rsid w:val="000F79FB"/>
    <w:rsid w:val="00144BCA"/>
    <w:rsid w:val="001477EB"/>
    <w:rsid w:val="001632AD"/>
    <w:rsid w:val="0017632E"/>
    <w:rsid w:val="001844A2"/>
    <w:rsid w:val="001C1640"/>
    <w:rsid w:val="00246CD0"/>
    <w:rsid w:val="002B0597"/>
    <w:rsid w:val="003D2E35"/>
    <w:rsid w:val="003F761B"/>
    <w:rsid w:val="00405095"/>
    <w:rsid w:val="00405DFD"/>
    <w:rsid w:val="00477415"/>
    <w:rsid w:val="004916CC"/>
    <w:rsid w:val="004A5958"/>
    <w:rsid w:val="004C72BF"/>
    <w:rsid w:val="005A20A1"/>
    <w:rsid w:val="005B3531"/>
    <w:rsid w:val="00616CA5"/>
    <w:rsid w:val="006246CE"/>
    <w:rsid w:val="00671BF0"/>
    <w:rsid w:val="006A6DD8"/>
    <w:rsid w:val="00702E5C"/>
    <w:rsid w:val="00730850"/>
    <w:rsid w:val="00844414"/>
    <w:rsid w:val="008471C4"/>
    <w:rsid w:val="00864991"/>
    <w:rsid w:val="008C3865"/>
    <w:rsid w:val="008D7183"/>
    <w:rsid w:val="008E75BE"/>
    <w:rsid w:val="008F6A23"/>
    <w:rsid w:val="009C7D9E"/>
    <w:rsid w:val="009F3B89"/>
    <w:rsid w:val="00AA67DB"/>
    <w:rsid w:val="00AF11B4"/>
    <w:rsid w:val="00B3671C"/>
    <w:rsid w:val="00B64515"/>
    <w:rsid w:val="00C309AB"/>
    <w:rsid w:val="00C42BFB"/>
    <w:rsid w:val="00CE65A6"/>
    <w:rsid w:val="00D3646C"/>
    <w:rsid w:val="00D36882"/>
    <w:rsid w:val="00D64E75"/>
    <w:rsid w:val="00DD6CC5"/>
    <w:rsid w:val="00DF1A7F"/>
    <w:rsid w:val="00E35688"/>
    <w:rsid w:val="00E436A4"/>
    <w:rsid w:val="00E75FE2"/>
    <w:rsid w:val="00E9626B"/>
    <w:rsid w:val="00F33E62"/>
    <w:rsid w:val="00F84170"/>
    <w:rsid w:val="00FF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0346A"/>
  <w15:chartTrackingRefBased/>
  <w15:docId w15:val="{D1A4F06C-89A2-4CF5-A2B5-A49CFE22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0A1"/>
  </w:style>
  <w:style w:type="paragraph" w:styleId="Footer">
    <w:name w:val="footer"/>
    <w:basedOn w:val="Normal"/>
    <w:link w:val="FooterChar"/>
    <w:uiPriority w:val="99"/>
    <w:unhideWhenUsed/>
    <w:rsid w:val="005A2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0A1"/>
  </w:style>
  <w:style w:type="paragraph" w:styleId="NoSpacing">
    <w:name w:val="No Spacing"/>
    <w:uiPriority w:val="1"/>
    <w:qFormat/>
    <w:rsid w:val="00671BF0"/>
    <w:pPr>
      <w:spacing w:after="0" w:line="240" w:lineRule="auto"/>
    </w:pPr>
  </w:style>
  <w:style w:type="table" w:styleId="TableGrid">
    <w:name w:val="Table Grid"/>
    <w:basedOn w:val="TableNormal"/>
    <w:uiPriority w:val="39"/>
    <w:rsid w:val="0067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Dentzer</dc:creator>
  <cp:keywords/>
  <dc:description/>
  <cp:lastModifiedBy>Pit Rodenbourg</cp:lastModifiedBy>
  <cp:revision>3</cp:revision>
  <cp:lastPrinted>2026-07-01T13:00:00Z</cp:lastPrinted>
  <dcterms:created xsi:type="dcterms:W3CDTF">2026-07-15T14:47:00Z</dcterms:created>
  <dcterms:modified xsi:type="dcterms:W3CDTF">2026-07-16T08:28:00Z</dcterms:modified>
</cp:coreProperties>
</file>